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D5B25" w14:textId="3BC34E41" w:rsidR="00235462" w:rsidRPr="00235462" w:rsidRDefault="00235462" w:rsidP="00235462">
      <w:pPr>
        <w:ind w:left="426"/>
        <w:rPr>
          <w:rFonts w:ascii="Calibri" w:hAnsi="Calibri"/>
        </w:rPr>
      </w:pPr>
    </w:p>
    <w:p w14:paraId="47EE50EA" w14:textId="77777777" w:rsidR="00235462" w:rsidRPr="00235462" w:rsidRDefault="00235462" w:rsidP="00235462">
      <w:pPr>
        <w:ind w:left="426"/>
        <w:rPr>
          <w:rFonts w:ascii="Calibri" w:hAnsi="Calibri"/>
        </w:rPr>
      </w:pPr>
    </w:p>
    <w:p w14:paraId="2E6373BE" w14:textId="77777777" w:rsidR="00235462" w:rsidRPr="009E08D1" w:rsidRDefault="00235462" w:rsidP="004D1466">
      <w:pPr>
        <w:rPr>
          <w:rFonts w:ascii="Calibri" w:hAnsi="Calibri"/>
          <w:lang w:val="es-ES"/>
        </w:rPr>
      </w:pPr>
    </w:p>
    <w:p w14:paraId="570C38DC" w14:textId="77777777" w:rsidR="003F3156" w:rsidRDefault="003F3156" w:rsidP="00D54F23">
      <w:pPr>
        <w:jc w:val="right"/>
        <w:rPr>
          <w:rFonts w:cs="Arial"/>
          <w:b/>
          <w:bCs/>
          <w:sz w:val="24"/>
          <w:lang w:val="en-GB"/>
        </w:rPr>
      </w:pPr>
      <w:r w:rsidRPr="003F3156">
        <w:rPr>
          <w:rFonts w:cs="Arial"/>
          <w:b/>
          <w:bCs/>
          <w:sz w:val="24"/>
          <w:lang w:val="en-GB"/>
        </w:rPr>
        <w:t>Science Award of the German Operations Research Society (GOR)</w:t>
      </w:r>
      <w:r w:rsidRPr="003F3156">
        <w:rPr>
          <w:rFonts w:cs="Arial"/>
          <w:b/>
          <w:bCs/>
          <w:sz w:val="24"/>
          <w:lang w:val="en-GB"/>
        </w:rPr>
        <w:br/>
        <w:t>to Prof. Dr. Stefan Minner in 2025</w:t>
      </w:r>
    </w:p>
    <w:p w14:paraId="6F5965AF" w14:textId="77777777" w:rsidR="00D54F23" w:rsidRPr="003F3156" w:rsidRDefault="00D54F23" w:rsidP="00D54F23">
      <w:pPr>
        <w:jc w:val="right"/>
        <w:rPr>
          <w:rFonts w:cs="Arial"/>
          <w:b/>
          <w:sz w:val="24"/>
          <w:lang w:val="en-GB"/>
        </w:rPr>
      </w:pPr>
    </w:p>
    <w:p w14:paraId="2605EFA7" w14:textId="77777777" w:rsidR="003F3156" w:rsidRDefault="003F3156" w:rsidP="003F3156">
      <w:pPr>
        <w:jc w:val="both"/>
        <w:rPr>
          <w:rFonts w:cs="Arial"/>
          <w:bCs/>
          <w:sz w:val="24"/>
          <w:lang w:val="en-GB"/>
        </w:rPr>
      </w:pPr>
    </w:p>
    <w:p w14:paraId="0AEE3B4C" w14:textId="278EBEC1" w:rsidR="003F3156" w:rsidRPr="003F3156" w:rsidRDefault="003F3156" w:rsidP="003F3156">
      <w:pPr>
        <w:spacing w:after="240"/>
        <w:jc w:val="both"/>
        <w:rPr>
          <w:rFonts w:cs="Arial"/>
          <w:bCs/>
          <w:sz w:val="24"/>
          <w:lang w:val="en-GB"/>
        </w:rPr>
      </w:pPr>
      <w:r w:rsidRPr="003F3156">
        <w:rPr>
          <w:rFonts w:cs="Arial"/>
          <w:bCs/>
          <w:sz w:val="24"/>
          <w:lang w:val="en-GB"/>
        </w:rPr>
        <w:t>Prof. Dr. Stefan Minner, Chair of Logistics and Supply Chain Management at the School of Management of the Technical University of Munich, has been awarded the Science Award of the German Operations Research Society (GOR)</w:t>
      </w:r>
      <w:r>
        <w:rPr>
          <w:rFonts w:cs="Arial"/>
          <w:bCs/>
          <w:sz w:val="24"/>
          <w:lang w:val="en-GB"/>
        </w:rPr>
        <w:t xml:space="preserve"> 2025 at the annual international conference OR 2025 in Bielefeld</w:t>
      </w:r>
      <w:r w:rsidRPr="003F3156">
        <w:rPr>
          <w:rFonts w:cs="Arial"/>
          <w:bCs/>
          <w:sz w:val="24"/>
          <w:lang w:val="en-GB"/>
        </w:rPr>
        <w:t>. The award honours Prof. Minner’s outstanding contributions to the development of Operations Research, in particular his work on stochastic inventory management.</w:t>
      </w:r>
    </w:p>
    <w:p w14:paraId="7065913F" w14:textId="2A38B7CC" w:rsidR="003F3156" w:rsidRPr="003F3156" w:rsidRDefault="003F3156" w:rsidP="003F3156">
      <w:pPr>
        <w:spacing w:after="240"/>
        <w:jc w:val="both"/>
        <w:rPr>
          <w:rFonts w:cs="Arial"/>
          <w:bCs/>
          <w:sz w:val="24"/>
          <w:lang w:val="en-GB"/>
        </w:rPr>
      </w:pPr>
      <w:r w:rsidRPr="003F3156">
        <w:rPr>
          <w:rFonts w:cs="Arial"/>
          <w:bCs/>
          <w:sz w:val="24"/>
          <w:lang w:val="en-GB"/>
        </w:rPr>
        <w:t>The festive award ceremony took place as part of the opening event of this year’s international annual conference on 3 September 2025. The Science Award is the highest honour bestowed by the GOR. It is sponsored by INFORM GmbH, Aachen, and is endowed with €8,000.</w:t>
      </w:r>
    </w:p>
    <w:p w14:paraId="03821866" w14:textId="77777777" w:rsidR="003F3156" w:rsidRPr="003F3156" w:rsidRDefault="003F3156" w:rsidP="003F3156">
      <w:pPr>
        <w:spacing w:after="240"/>
        <w:jc w:val="both"/>
        <w:rPr>
          <w:rFonts w:cs="Arial"/>
          <w:bCs/>
          <w:sz w:val="24"/>
          <w:lang w:val="en-GB"/>
        </w:rPr>
      </w:pPr>
      <w:r w:rsidRPr="003F3156">
        <w:rPr>
          <w:rFonts w:cs="Arial"/>
          <w:bCs/>
          <w:sz w:val="24"/>
          <w:lang w:val="en-GB"/>
        </w:rPr>
        <w:t xml:space="preserve">Through his research in stochastic modelling and optimisation as well as mixed-integer linear programming, Prof. Minner has made significant contributions to the advancement of Operations Research. His work finds application in vital areas such as network design, supply chain management, inventory management, and transportation. He has published in the most prestigious journals in the field, including </w:t>
      </w:r>
      <w:r w:rsidRPr="003F3156">
        <w:rPr>
          <w:rFonts w:cs="Arial"/>
          <w:bCs/>
          <w:i/>
          <w:iCs/>
          <w:sz w:val="24"/>
          <w:lang w:val="en-GB"/>
        </w:rPr>
        <w:t>Management Science</w:t>
      </w:r>
      <w:r w:rsidRPr="003F3156">
        <w:rPr>
          <w:rFonts w:cs="Arial"/>
          <w:bCs/>
          <w:sz w:val="24"/>
          <w:lang w:val="en-GB"/>
        </w:rPr>
        <w:t xml:space="preserve">, </w:t>
      </w:r>
      <w:r w:rsidRPr="003F3156">
        <w:rPr>
          <w:rFonts w:cs="Arial"/>
          <w:bCs/>
          <w:i/>
          <w:iCs/>
          <w:sz w:val="24"/>
          <w:lang w:val="en-GB"/>
        </w:rPr>
        <w:t>Operations Research</w:t>
      </w:r>
      <w:r w:rsidRPr="003F3156">
        <w:rPr>
          <w:rFonts w:cs="Arial"/>
          <w:bCs/>
          <w:sz w:val="24"/>
          <w:lang w:val="en-GB"/>
        </w:rPr>
        <w:t xml:space="preserve">, </w:t>
      </w:r>
      <w:r w:rsidRPr="003F3156">
        <w:rPr>
          <w:rFonts w:cs="Arial"/>
          <w:bCs/>
          <w:i/>
          <w:iCs/>
          <w:sz w:val="24"/>
          <w:lang w:val="en-GB"/>
        </w:rPr>
        <w:t>Manufacturing &amp; Service Operations Management</w:t>
      </w:r>
      <w:r w:rsidRPr="003F3156">
        <w:rPr>
          <w:rFonts w:cs="Arial"/>
          <w:bCs/>
          <w:sz w:val="24"/>
          <w:lang w:val="en-GB"/>
        </w:rPr>
        <w:t xml:space="preserve">, </w:t>
      </w:r>
      <w:r w:rsidRPr="003F3156">
        <w:rPr>
          <w:rFonts w:cs="Arial"/>
          <w:bCs/>
          <w:i/>
          <w:iCs/>
          <w:sz w:val="24"/>
          <w:lang w:val="en-GB"/>
        </w:rPr>
        <w:t>Production &amp; Operations Management</w:t>
      </w:r>
      <w:r w:rsidRPr="003F3156">
        <w:rPr>
          <w:rFonts w:cs="Arial"/>
          <w:bCs/>
          <w:sz w:val="24"/>
          <w:lang w:val="en-GB"/>
        </w:rPr>
        <w:t xml:space="preserve">, </w:t>
      </w:r>
      <w:r w:rsidRPr="003F3156">
        <w:rPr>
          <w:rFonts w:cs="Arial"/>
          <w:bCs/>
          <w:i/>
          <w:iCs/>
          <w:sz w:val="24"/>
          <w:lang w:val="en-GB"/>
        </w:rPr>
        <w:t>Transportation Science</w:t>
      </w:r>
      <w:r w:rsidRPr="003F3156">
        <w:rPr>
          <w:rFonts w:cs="Arial"/>
          <w:bCs/>
          <w:sz w:val="24"/>
          <w:lang w:val="en-GB"/>
        </w:rPr>
        <w:t xml:space="preserve">, </w:t>
      </w:r>
      <w:r w:rsidRPr="003F3156">
        <w:rPr>
          <w:rFonts w:cs="Arial"/>
          <w:bCs/>
          <w:i/>
          <w:iCs/>
          <w:sz w:val="24"/>
          <w:lang w:val="en-GB"/>
        </w:rPr>
        <w:t>Transportation Research</w:t>
      </w:r>
      <w:r w:rsidRPr="003F3156">
        <w:rPr>
          <w:rFonts w:cs="Arial"/>
          <w:bCs/>
          <w:sz w:val="24"/>
          <w:lang w:val="en-GB"/>
        </w:rPr>
        <w:t xml:space="preserve"> (B, C, and E), and the </w:t>
      </w:r>
      <w:r w:rsidRPr="003F3156">
        <w:rPr>
          <w:rFonts w:cs="Arial"/>
          <w:bCs/>
          <w:i/>
          <w:iCs/>
          <w:sz w:val="24"/>
          <w:lang w:val="en-GB"/>
        </w:rPr>
        <w:t>European Journal of Operational Research</w:t>
      </w:r>
      <w:r w:rsidRPr="003F3156">
        <w:rPr>
          <w:rFonts w:cs="Arial"/>
          <w:bCs/>
          <w:sz w:val="24"/>
          <w:lang w:val="en-GB"/>
        </w:rPr>
        <w:t>. His highly cited contributions testify to his influence and expertise in the discipline.</w:t>
      </w:r>
    </w:p>
    <w:p w14:paraId="30EEB3EF" w14:textId="77777777" w:rsidR="003F3156" w:rsidRPr="003F3156" w:rsidRDefault="003F3156" w:rsidP="003F3156">
      <w:pPr>
        <w:spacing w:after="240"/>
        <w:jc w:val="both"/>
        <w:rPr>
          <w:rFonts w:cs="Arial"/>
          <w:bCs/>
          <w:sz w:val="24"/>
          <w:lang w:val="en-GB"/>
        </w:rPr>
      </w:pPr>
      <w:r w:rsidRPr="003F3156">
        <w:rPr>
          <w:rFonts w:cs="Arial"/>
          <w:bCs/>
          <w:sz w:val="24"/>
          <w:lang w:val="en-GB"/>
        </w:rPr>
        <w:t xml:space="preserve">Within the German Operations Research Society (GOR), Prof. Minner has rendered outstanding service as a member of the Advisory Board and as Editor of </w:t>
      </w:r>
      <w:r w:rsidRPr="003F3156">
        <w:rPr>
          <w:rFonts w:cs="Arial"/>
          <w:bCs/>
          <w:i/>
          <w:iCs/>
          <w:sz w:val="24"/>
          <w:lang w:val="en-GB"/>
        </w:rPr>
        <w:t>OR Spectrum</w:t>
      </w:r>
      <w:r w:rsidRPr="003F3156">
        <w:rPr>
          <w:rFonts w:cs="Arial"/>
          <w:bCs/>
          <w:sz w:val="24"/>
          <w:lang w:val="en-GB"/>
        </w:rPr>
        <w:t>. His role as co-organiser of the 2024 GOR Annual Conference in Munich underscores his commitment to the scientific community.</w:t>
      </w:r>
    </w:p>
    <w:p w14:paraId="5079981D" w14:textId="77777777" w:rsidR="003F3156" w:rsidRPr="003F3156" w:rsidRDefault="003F3156" w:rsidP="003F3156">
      <w:pPr>
        <w:spacing w:after="240"/>
        <w:jc w:val="both"/>
        <w:rPr>
          <w:rFonts w:cs="Arial"/>
          <w:bCs/>
          <w:sz w:val="24"/>
          <w:lang w:val="en-GB"/>
        </w:rPr>
      </w:pPr>
      <w:r w:rsidRPr="003F3156">
        <w:rPr>
          <w:rFonts w:cs="Arial"/>
          <w:bCs/>
          <w:sz w:val="24"/>
          <w:lang w:val="en-GB"/>
        </w:rPr>
        <w:t xml:space="preserve">Internationally, Prof. Minner is a driving force and highly visible, serving as Editor for leading journals such as </w:t>
      </w:r>
      <w:r w:rsidRPr="003F3156">
        <w:rPr>
          <w:rFonts w:cs="Arial"/>
          <w:bCs/>
          <w:i/>
          <w:iCs/>
          <w:sz w:val="24"/>
          <w:lang w:val="en-GB"/>
        </w:rPr>
        <w:t>OR Spectrum</w:t>
      </w:r>
      <w:r w:rsidRPr="003F3156">
        <w:rPr>
          <w:rFonts w:cs="Arial"/>
          <w:bCs/>
          <w:sz w:val="24"/>
          <w:lang w:val="en-GB"/>
        </w:rPr>
        <w:t xml:space="preserve"> and the </w:t>
      </w:r>
      <w:r w:rsidRPr="003F3156">
        <w:rPr>
          <w:rFonts w:cs="Arial"/>
          <w:bCs/>
          <w:i/>
          <w:iCs/>
          <w:sz w:val="24"/>
          <w:lang w:val="en-GB"/>
        </w:rPr>
        <w:t>International Journal of Production Economics</w:t>
      </w:r>
      <w:r w:rsidRPr="003F3156">
        <w:rPr>
          <w:rFonts w:cs="Arial"/>
          <w:bCs/>
          <w:sz w:val="24"/>
          <w:lang w:val="en-GB"/>
        </w:rPr>
        <w:t xml:space="preserve">, and as a member of the Editorial Board of </w:t>
      </w:r>
      <w:r w:rsidRPr="003F3156">
        <w:rPr>
          <w:rFonts w:cs="Arial"/>
          <w:bCs/>
          <w:i/>
          <w:iCs/>
          <w:sz w:val="24"/>
          <w:lang w:val="en-GB"/>
        </w:rPr>
        <w:t>Operations Research</w:t>
      </w:r>
      <w:r w:rsidRPr="003F3156">
        <w:rPr>
          <w:rFonts w:cs="Arial"/>
          <w:bCs/>
          <w:sz w:val="24"/>
          <w:lang w:val="en-GB"/>
        </w:rPr>
        <w:t xml:space="preserve"> and various other renowned journals. He is Vice Chairman of the Scientific Advisory Board of the German Logistics Association (BVL), member of the Research Committee of the European Logistics Association (ELA), board member and Fellow of the International Federation for Production Research (IFPR), and was President and is now Fellow of the International Society for Inventory Research (ISIR).</w:t>
      </w:r>
    </w:p>
    <w:p w14:paraId="63CD6487" w14:textId="77777777" w:rsidR="003F3156" w:rsidRPr="003F3156" w:rsidRDefault="003F3156" w:rsidP="003F3156">
      <w:pPr>
        <w:spacing w:after="240"/>
        <w:jc w:val="both"/>
        <w:rPr>
          <w:rFonts w:cs="Arial"/>
          <w:bCs/>
          <w:sz w:val="24"/>
          <w:lang w:val="en-GB"/>
        </w:rPr>
      </w:pPr>
      <w:r w:rsidRPr="003F3156">
        <w:rPr>
          <w:rFonts w:cs="Arial"/>
          <w:bCs/>
          <w:sz w:val="24"/>
          <w:lang w:val="en-GB"/>
        </w:rPr>
        <w:t>In his laudatory address, Prof. Dr. Karl Inderfurth, himself the recipient of the GOR Science Award in 2013, outlined Prof. Minner’s impressive career, which has taken him from Bielefeld via Magdeburg, Mannheim, and Vienna to Munich.</w:t>
      </w:r>
    </w:p>
    <w:p w14:paraId="599680A2" w14:textId="77777777" w:rsidR="003F3156" w:rsidRPr="003F3156" w:rsidRDefault="003F3156" w:rsidP="003F3156">
      <w:pPr>
        <w:spacing w:after="240"/>
        <w:jc w:val="both"/>
        <w:rPr>
          <w:rFonts w:cs="Arial"/>
          <w:bCs/>
          <w:sz w:val="24"/>
          <w:lang w:val="en-GB"/>
        </w:rPr>
      </w:pPr>
      <w:r w:rsidRPr="003F3156">
        <w:rPr>
          <w:rFonts w:cs="Arial"/>
          <w:bCs/>
          <w:sz w:val="24"/>
          <w:lang w:val="en-GB"/>
        </w:rPr>
        <w:lastRenderedPageBreak/>
        <w:t xml:space="preserve">In his award lecture, </w:t>
      </w:r>
      <w:r w:rsidRPr="003F3156">
        <w:rPr>
          <w:rFonts w:cs="Arial"/>
          <w:bCs/>
          <w:i/>
          <w:iCs/>
          <w:sz w:val="24"/>
          <w:lang w:val="en-GB"/>
        </w:rPr>
        <w:t>“Inventory Optimization – What and Why”</w:t>
      </w:r>
      <w:r w:rsidRPr="003F3156">
        <w:rPr>
          <w:rFonts w:cs="Arial"/>
          <w:bCs/>
          <w:sz w:val="24"/>
          <w:lang w:val="en-GB"/>
        </w:rPr>
        <w:t>, Prof. Minner illustrated the development of methods and applications in inventory management. He emphasised the challenges involved, especially the necessity for meaningful data, the scalability of precise solution techniques, and the comprehensibility of solutions for successful implementation. A particularly important point was that even small changes in the data can lead to fundamental changes in the solutions – underlining the importance of a flexible and adaptable strategy.</w:t>
      </w:r>
    </w:p>
    <w:p w14:paraId="7DD1AEC6" w14:textId="77777777" w:rsidR="003F3156" w:rsidRPr="003F3156" w:rsidRDefault="003F3156" w:rsidP="003F3156">
      <w:pPr>
        <w:spacing w:after="240"/>
        <w:jc w:val="both"/>
        <w:rPr>
          <w:rFonts w:cs="Arial"/>
          <w:bCs/>
          <w:sz w:val="24"/>
          <w:lang w:val="en-GB"/>
        </w:rPr>
      </w:pPr>
      <w:r w:rsidRPr="003F3156">
        <w:rPr>
          <w:rFonts w:cs="Arial"/>
          <w:bCs/>
          <w:sz w:val="24"/>
          <w:lang w:val="en-GB"/>
        </w:rPr>
        <w:t>Prof. Minner continues to inspire the advancement and application of Operations Research worldwide. Congratulations on these impressive achievements!</w:t>
      </w:r>
    </w:p>
    <w:p w14:paraId="4EDA87E4" w14:textId="77777777" w:rsidR="003F3156" w:rsidRPr="003F3156" w:rsidRDefault="003F3156" w:rsidP="003F3156">
      <w:pPr>
        <w:spacing w:after="240"/>
        <w:jc w:val="both"/>
        <w:rPr>
          <w:rFonts w:cs="Arial"/>
          <w:bCs/>
          <w:sz w:val="24"/>
          <w:lang w:val="en-GB"/>
        </w:rPr>
      </w:pPr>
      <w:r w:rsidRPr="003F3156">
        <w:rPr>
          <w:rFonts w:cs="Arial"/>
          <w:bCs/>
          <w:sz w:val="24"/>
          <w:lang w:val="en-GB"/>
        </w:rPr>
        <w:t>The German Operations Research Society (GOR) is the leading professional association for the field of Operations Research in Germany. As a non-profit organization, GOR is dedicated to fostering the dissemination and application of Operations Research in both academia and industry. With around 1,050 members from universities as well as companies with a strong connection to the field, GOR brings together experts primarily from mathematics, economics, and computer science.</w:t>
      </w:r>
    </w:p>
    <w:p w14:paraId="309C204D" w14:textId="77777777" w:rsidR="003F3156" w:rsidRDefault="003F3156" w:rsidP="003F3156">
      <w:pPr>
        <w:spacing w:after="240"/>
        <w:jc w:val="both"/>
        <w:rPr>
          <w:rFonts w:cs="Arial"/>
          <w:bCs/>
          <w:sz w:val="24"/>
          <w:lang w:val="en-GB"/>
        </w:rPr>
      </w:pPr>
      <w:r w:rsidRPr="003F3156">
        <w:rPr>
          <w:rFonts w:cs="Arial"/>
          <w:bCs/>
          <w:sz w:val="24"/>
          <w:lang w:val="en-GB"/>
        </w:rPr>
        <w:t>This year’s annual conference, held in Bielefeld, attracted 430 participants. The program included approximately 270 scientific presentations, complemented by practice-oriented workshops and a dedicated program for doctoral candidates.</w:t>
      </w:r>
    </w:p>
    <w:p w14:paraId="7A7EF2D7" w14:textId="77777777" w:rsidR="00EE13A9" w:rsidRDefault="00EE13A9" w:rsidP="003F3156">
      <w:pPr>
        <w:spacing w:after="240"/>
        <w:jc w:val="both"/>
        <w:rPr>
          <w:rFonts w:cs="Arial"/>
          <w:bCs/>
          <w:sz w:val="24"/>
          <w:lang w:val="en-GB"/>
        </w:rPr>
      </w:pPr>
    </w:p>
    <w:p w14:paraId="0990FB79" w14:textId="77777777" w:rsidR="00EE13A9" w:rsidRDefault="00EE13A9" w:rsidP="003F3156">
      <w:pPr>
        <w:spacing w:after="240"/>
        <w:jc w:val="both"/>
        <w:rPr>
          <w:rFonts w:cs="Arial"/>
          <w:bCs/>
          <w:sz w:val="24"/>
          <w:lang w:val="en-GB"/>
        </w:rPr>
      </w:pPr>
    </w:p>
    <w:p w14:paraId="1B36EFC8" w14:textId="768017C1" w:rsidR="00260770" w:rsidRPr="00EE13A9" w:rsidRDefault="00EE13A9" w:rsidP="00EE13A9">
      <w:pPr>
        <w:jc w:val="right"/>
        <w:rPr>
          <w:rFonts w:cs="Arial"/>
          <w:sz w:val="20"/>
          <w:szCs w:val="20"/>
        </w:rPr>
      </w:pPr>
      <w:r>
        <w:rPr>
          <w:rStyle w:val="break-words"/>
          <w:rFonts w:eastAsiaTheme="majorEastAsia"/>
          <w:sz w:val="20"/>
          <w:szCs w:val="22"/>
        </w:rPr>
        <w:t>Alle hier eingebetteten Fotos: © Universität Bielefeld / Stefan Sättele</w:t>
      </w:r>
    </w:p>
    <w:p w14:paraId="0CF6E9CB" w14:textId="77777777" w:rsidR="00260770" w:rsidRPr="00EE13A9" w:rsidRDefault="00260770" w:rsidP="009A7620">
      <w:pPr>
        <w:jc w:val="both"/>
      </w:pPr>
    </w:p>
    <w:p w14:paraId="53FF2386" w14:textId="77777777" w:rsidR="00260770" w:rsidRDefault="00260770" w:rsidP="00260770">
      <w:pPr>
        <w:keepNext/>
        <w:jc w:val="center"/>
      </w:pPr>
      <w:r>
        <w:rPr>
          <w:rFonts w:ascii="Calibri" w:hAnsi="Calibri"/>
          <w:noProof/>
        </w:rPr>
        <w:drawing>
          <wp:inline distT="0" distB="0" distL="0" distR="0" wp14:anchorId="42603F26" wp14:editId="662421F2">
            <wp:extent cx="5040000" cy="3067105"/>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040000" cy="3067105"/>
                    </a:xfrm>
                    <a:prstGeom prst="rect">
                      <a:avLst/>
                    </a:prstGeom>
                    <a:noFill/>
                    <a:ln>
                      <a:noFill/>
                    </a:ln>
                  </pic:spPr>
                </pic:pic>
              </a:graphicData>
            </a:graphic>
          </wp:inline>
        </w:drawing>
      </w:r>
    </w:p>
    <w:p w14:paraId="415B9AC7" w14:textId="54C59E1A" w:rsidR="00260770" w:rsidRPr="00307AF2" w:rsidRDefault="00307AF2" w:rsidP="00307AF2">
      <w:pPr>
        <w:pStyle w:val="Beschriftung"/>
        <w:jc w:val="center"/>
        <w:rPr>
          <w:lang w:val="en-GB"/>
        </w:rPr>
      </w:pPr>
      <w:r w:rsidRPr="00307AF2">
        <w:rPr>
          <w:lang w:val="en-GB"/>
        </w:rPr>
        <w:t>Figure</w:t>
      </w:r>
      <w:r w:rsidR="00260770" w:rsidRPr="00307AF2">
        <w:rPr>
          <w:lang w:val="en-GB"/>
        </w:rPr>
        <w:t xml:space="preserve"> </w:t>
      </w:r>
      <w:r w:rsidR="00260770">
        <w:fldChar w:fldCharType="begin"/>
      </w:r>
      <w:r w:rsidR="00260770" w:rsidRPr="00307AF2">
        <w:rPr>
          <w:lang w:val="en-GB"/>
        </w:rPr>
        <w:instrText>SEQ Abbildung \* ARABIC</w:instrText>
      </w:r>
      <w:r w:rsidR="00260770">
        <w:fldChar w:fldCharType="separate"/>
      </w:r>
      <w:r w:rsidR="00EF27E4">
        <w:rPr>
          <w:noProof/>
          <w:lang w:val="en-GB"/>
        </w:rPr>
        <w:t>1</w:t>
      </w:r>
      <w:r w:rsidR="00260770">
        <w:fldChar w:fldCharType="end"/>
      </w:r>
      <w:r w:rsidR="00260770" w:rsidRPr="00307AF2">
        <w:rPr>
          <w:lang w:val="en-GB"/>
        </w:rPr>
        <w:t xml:space="preserve">: </w:t>
      </w:r>
      <w:r w:rsidRPr="00307AF2">
        <w:rPr>
          <w:lang w:val="en-GB"/>
        </w:rPr>
        <w:t>From left to right: Prof. Dr. Karl Inderfurth (Laudator), Prof. Dr. Anita Schöbel (Recipient of the Scientific Award 2023 and Member of the Award Jury 2025), Prof. Dr. Stefan Minner (Recipient of the Scientific Award 2025), Prof. Dr. Richard Hartl (Recipient of the Scientific Award 2021, Chair of the Award Jury 2025), Prof. Dr. Stefan Ruzika (Member of the Award Jury 2025, Member of the GOR Executive Board – Working Groups).</w:t>
      </w:r>
    </w:p>
    <w:p w14:paraId="064DF7AB" w14:textId="77777777" w:rsidR="00260770" w:rsidRDefault="00260770" w:rsidP="00260770">
      <w:pPr>
        <w:keepNext/>
        <w:jc w:val="center"/>
      </w:pPr>
      <w:r>
        <w:rPr>
          <w:noProof/>
        </w:rPr>
        <w:lastRenderedPageBreak/>
        <w:drawing>
          <wp:inline distT="0" distB="0" distL="0" distR="0" wp14:anchorId="61E767D6" wp14:editId="6A127DAE">
            <wp:extent cx="5040000" cy="3360000"/>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5040000" cy="3360000"/>
                    </a:xfrm>
                    <a:prstGeom prst="rect">
                      <a:avLst/>
                    </a:prstGeom>
                    <a:noFill/>
                    <a:ln>
                      <a:noFill/>
                    </a:ln>
                  </pic:spPr>
                </pic:pic>
              </a:graphicData>
            </a:graphic>
          </wp:inline>
        </w:drawing>
      </w:r>
    </w:p>
    <w:p w14:paraId="0BCD0DE1" w14:textId="5F7EDB3E" w:rsidR="00307AF2" w:rsidRPr="00307AF2" w:rsidRDefault="00307AF2" w:rsidP="00307AF2">
      <w:pPr>
        <w:pStyle w:val="Beschriftung"/>
        <w:jc w:val="center"/>
        <w:rPr>
          <w:lang w:val="en-GB"/>
        </w:rPr>
      </w:pPr>
      <w:r>
        <w:rPr>
          <w:lang w:val="en-GB"/>
        </w:rPr>
        <w:t>Figure</w:t>
      </w:r>
      <w:r w:rsidR="00260770" w:rsidRPr="00307AF2">
        <w:rPr>
          <w:lang w:val="en-GB"/>
        </w:rPr>
        <w:t xml:space="preserve"> </w:t>
      </w:r>
      <w:r w:rsidR="00260770">
        <w:fldChar w:fldCharType="begin"/>
      </w:r>
      <w:r w:rsidR="00260770" w:rsidRPr="00307AF2">
        <w:rPr>
          <w:lang w:val="en-GB"/>
        </w:rPr>
        <w:instrText>SEQ Abbildung \* ARABIC</w:instrText>
      </w:r>
      <w:r w:rsidR="00260770">
        <w:fldChar w:fldCharType="separate"/>
      </w:r>
      <w:r w:rsidR="00EF27E4">
        <w:rPr>
          <w:noProof/>
          <w:lang w:val="en-GB"/>
        </w:rPr>
        <w:t>2</w:t>
      </w:r>
      <w:r w:rsidR="00260770">
        <w:fldChar w:fldCharType="end"/>
      </w:r>
      <w:r w:rsidR="00260770" w:rsidRPr="00307AF2">
        <w:rPr>
          <w:lang w:val="en-GB"/>
        </w:rPr>
        <w:t xml:space="preserve">: </w:t>
      </w:r>
      <w:r w:rsidRPr="00307AF2">
        <w:rPr>
          <w:lang w:val="en-GB"/>
        </w:rPr>
        <w:t>From left to right: Prof. Dr. Karl Inderfurth (Laudator), Prof. Dr. Stefan Minner (Recipient of the Scientific Award 2025), Prof. Dr. Richard Hartl (Recipient of the Scientific Award 2021, Chair of the Award Jury 2025)</w:t>
      </w:r>
    </w:p>
    <w:p w14:paraId="27BDEFB8" w14:textId="549A2197" w:rsidR="00260770" w:rsidRPr="00307AF2" w:rsidRDefault="00260770" w:rsidP="00260770">
      <w:pPr>
        <w:pStyle w:val="Beschriftung"/>
        <w:jc w:val="center"/>
        <w:rPr>
          <w:lang w:val="en-GB"/>
        </w:rPr>
      </w:pPr>
    </w:p>
    <w:p w14:paraId="620FC4F3" w14:textId="6EF6A0E7" w:rsidR="00260770" w:rsidRPr="00307AF2" w:rsidRDefault="00260770" w:rsidP="00260770">
      <w:pPr>
        <w:rPr>
          <w:lang w:val="en-GB"/>
        </w:rPr>
      </w:pPr>
    </w:p>
    <w:p w14:paraId="3787145E" w14:textId="77777777" w:rsidR="00260770" w:rsidRDefault="00260770" w:rsidP="00260770">
      <w:pPr>
        <w:keepNext/>
        <w:jc w:val="center"/>
      </w:pPr>
      <w:r>
        <w:rPr>
          <w:noProof/>
        </w:rPr>
        <w:drawing>
          <wp:inline distT="0" distB="0" distL="0" distR="0" wp14:anchorId="11D68B4C" wp14:editId="4FCE5FC5">
            <wp:extent cx="5040000" cy="336110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040000" cy="3361105"/>
                    </a:xfrm>
                    <a:prstGeom prst="rect">
                      <a:avLst/>
                    </a:prstGeom>
                    <a:noFill/>
                    <a:ln>
                      <a:noFill/>
                    </a:ln>
                  </pic:spPr>
                </pic:pic>
              </a:graphicData>
            </a:graphic>
          </wp:inline>
        </w:drawing>
      </w:r>
    </w:p>
    <w:p w14:paraId="0687AD7D" w14:textId="7463B572" w:rsidR="00260770" w:rsidRPr="00307AF2" w:rsidRDefault="00307AF2" w:rsidP="00260770">
      <w:pPr>
        <w:pStyle w:val="Beschriftung"/>
        <w:jc w:val="center"/>
        <w:rPr>
          <w:lang w:val="en-GB"/>
        </w:rPr>
      </w:pPr>
      <w:r w:rsidRPr="00307AF2">
        <w:rPr>
          <w:lang w:val="en-GB"/>
        </w:rPr>
        <w:t>Figure</w:t>
      </w:r>
      <w:r w:rsidR="00260770" w:rsidRPr="00307AF2">
        <w:rPr>
          <w:lang w:val="en-GB"/>
        </w:rPr>
        <w:t xml:space="preserve"> </w:t>
      </w:r>
      <w:r w:rsidR="00260770">
        <w:fldChar w:fldCharType="begin"/>
      </w:r>
      <w:r w:rsidR="00260770" w:rsidRPr="00307AF2">
        <w:rPr>
          <w:lang w:val="en-GB"/>
        </w:rPr>
        <w:instrText>SEQ Abbildung \* ARABIC</w:instrText>
      </w:r>
      <w:r w:rsidR="00260770">
        <w:fldChar w:fldCharType="separate"/>
      </w:r>
      <w:r w:rsidR="00EF27E4">
        <w:rPr>
          <w:noProof/>
          <w:lang w:val="en-GB"/>
        </w:rPr>
        <w:t>3</w:t>
      </w:r>
      <w:r w:rsidR="00260770">
        <w:fldChar w:fldCharType="end"/>
      </w:r>
      <w:r w:rsidR="00260770" w:rsidRPr="00307AF2">
        <w:rPr>
          <w:lang w:val="en-GB"/>
        </w:rPr>
        <w:t xml:space="preserve">: Prof. Dr. Stefan Minner </w:t>
      </w:r>
      <w:r w:rsidRPr="00307AF2">
        <w:rPr>
          <w:lang w:val="en-GB"/>
        </w:rPr>
        <w:t>dur</w:t>
      </w:r>
      <w:r>
        <w:rPr>
          <w:lang w:val="en-GB"/>
        </w:rPr>
        <w:t>ing his awaerd lecture on</w:t>
      </w:r>
      <w:r w:rsidR="00260770" w:rsidRPr="00307AF2">
        <w:rPr>
          <w:lang w:val="en-GB"/>
        </w:rPr>
        <w:t>„</w:t>
      </w:r>
      <w:r>
        <w:rPr>
          <w:lang w:val="en-GB"/>
        </w:rPr>
        <w:t>”</w:t>
      </w:r>
      <w:r w:rsidR="00260770" w:rsidRPr="00307AF2">
        <w:rPr>
          <w:lang w:val="en-GB"/>
        </w:rPr>
        <w:t>Inventory Management – What and Why.</w:t>
      </w:r>
      <w:r>
        <w:rPr>
          <w:lang w:val="en-GB"/>
        </w:rPr>
        <w:t>”</w:t>
      </w:r>
    </w:p>
    <w:sectPr w:rsidR="00260770" w:rsidRPr="00307AF2" w:rsidSect="00A60987">
      <w:headerReference w:type="even" r:id="rId11"/>
      <w:headerReference w:type="default" r:id="rId12"/>
      <w:footerReference w:type="even" r:id="rId13"/>
      <w:footerReference w:type="default" r:id="rId14"/>
      <w:headerReference w:type="first" r:id="rId15"/>
      <w:footerReference w:type="first" r:id="rId16"/>
      <w:pgSz w:w="11906" w:h="16838"/>
      <w:pgMar w:top="1418" w:right="1416" w:bottom="1276" w:left="1361" w:header="709"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3B219" w14:textId="77777777" w:rsidR="00BD4330" w:rsidRDefault="00BD4330" w:rsidP="004A6FAA">
      <w:r>
        <w:separator/>
      </w:r>
    </w:p>
  </w:endnote>
  <w:endnote w:type="continuationSeparator" w:id="0">
    <w:p w14:paraId="6F892229" w14:textId="77777777" w:rsidR="00BD4330" w:rsidRDefault="00BD4330" w:rsidP="004A6FAA">
      <w:r>
        <w:continuationSeparator/>
      </w:r>
    </w:p>
  </w:endnote>
  <w:endnote w:type="continuationNotice" w:id="1">
    <w:p w14:paraId="772075A3" w14:textId="77777777" w:rsidR="00BD4330" w:rsidRDefault="00BD4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4010" w14:textId="77777777" w:rsidR="00D54F23" w:rsidRDefault="00D54F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140098"/>
      <w:docPartObj>
        <w:docPartGallery w:val="Page Numbers (Bottom of Page)"/>
        <w:docPartUnique/>
      </w:docPartObj>
    </w:sdtPr>
    <w:sdtEndPr/>
    <w:sdtContent>
      <w:p w14:paraId="0329DEB0" w14:textId="4C0B4780" w:rsidR="00A60987" w:rsidRPr="00A60987" w:rsidRDefault="00A60987">
        <w:pPr>
          <w:pStyle w:val="Fuzeile"/>
          <w:jc w:val="center"/>
        </w:pPr>
        <w:r w:rsidRPr="00A60987">
          <w:fldChar w:fldCharType="begin"/>
        </w:r>
        <w:r w:rsidRPr="00A60987">
          <w:instrText>PAGE   \* MERGEFORMAT</w:instrText>
        </w:r>
        <w:r w:rsidRPr="00A60987">
          <w:fldChar w:fldCharType="separate"/>
        </w:r>
        <w:r w:rsidRPr="00A60987">
          <w:t>2</w:t>
        </w:r>
        <w:r w:rsidRPr="00A60987">
          <w:fldChar w:fldCharType="end"/>
        </w:r>
      </w:p>
    </w:sdtContent>
  </w:sdt>
  <w:p w14:paraId="2731AFF9" w14:textId="77777777" w:rsidR="0047184B" w:rsidRPr="00DB08A2" w:rsidRDefault="0047184B" w:rsidP="00DB08A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F645" w14:textId="6977A026" w:rsidR="00A60987" w:rsidRDefault="00A60987" w:rsidP="00A60987">
    <w:pPr>
      <w:pStyle w:val="Fuzeile"/>
      <w:tabs>
        <w:tab w:val="clear" w:pos="4536"/>
        <w:tab w:val="clear" w:pos="9072"/>
        <w:tab w:val="left" w:pos="3544"/>
        <w:tab w:val="left" w:pos="7371"/>
      </w:tabs>
      <w:spacing w:after="120"/>
      <w:ind w:right="-425"/>
      <w:rPr>
        <w:b/>
        <w:sz w:val="14"/>
        <w:szCs w:val="14"/>
      </w:rPr>
    </w:pPr>
    <w:r>
      <w:rPr>
        <w:b/>
        <w:sz w:val="14"/>
        <w:szCs w:val="14"/>
      </w:rPr>
      <w:t>______________________________________________________________________________________________________________________</w:t>
    </w:r>
  </w:p>
  <w:p w14:paraId="4F0F87A3" w14:textId="77777777" w:rsidR="00A60987" w:rsidRPr="00A60987" w:rsidRDefault="00A60987" w:rsidP="00A60987">
    <w:pPr>
      <w:pStyle w:val="Fuzeile"/>
      <w:tabs>
        <w:tab w:val="clear" w:pos="4536"/>
        <w:tab w:val="clear" w:pos="9072"/>
        <w:tab w:val="left" w:pos="4111"/>
        <w:tab w:val="left" w:pos="6804"/>
      </w:tabs>
      <w:ind w:right="-428"/>
      <w:rPr>
        <w:color w:val="595959" w:themeColor="text1" w:themeTint="A6"/>
        <w:sz w:val="14"/>
        <w:szCs w:val="14"/>
      </w:rPr>
    </w:pPr>
    <w:r w:rsidRPr="00A60987">
      <w:rPr>
        <w:b/>
        <w:color w:val="595959" w:themeColor="text1" w:themeTint="A6"/>
        <w:sz w:val="14"/>
        <w:szCs w:val="14"/>
      </w:rPr>
      <w:t>Vorstand / Executive Committee</w:t>
    </w:r>
    <w:r w:rsidRPr="00A60987">
      <w:rPr>
        <w:b/>
        <w:color w:val="595959" w:themeColor="text1" w:themeTint="A6"/>
        <w:sz w:val="14"/>
        <w:szCs w:val="14"/>
      </w:rPr>
      <w:tab/>
      <w:t>Kontakt / Contact</w:t>
    </w:r>
    <w:r w:rsidRPr="00A60987">
      <w:rPr>
        <w:b/>
        <w:color w:val="595959" w:themeColor="text1" w:themeTint="A6"/>
        <w:sz w:val="14"/>
        <w:szCs w:val="14"/>
      </w:rPr>
      <w:tab/>
      <w:t>Bankverbindung / Bank Details</w:t>
    </w:r>
  </w:p>
  <w:p w14:paraId="21D35880" w14:textId="77777777" w:rsidR="00A60987" w:rsidRDefault="00A60987" w:rsidP="00A60987">
    <w:pPr>
      <w:pStyle w:val="Fuzeile"/>
      <w:tabs>
        <w:tab w:val="clear" w:pos="4536"/>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Prof. Dr. Jutta Geldermann (Vorsitz / President)</w:t>
    </w:r>
    <w:r>
      <w:rPr>
        <w:color w:val="595959" w:themeColor="text1" w:themeTint="A6"/>
        <w:sz w:val="14"/>
        <w:szCs w:val="14"/>
      </w:rPr>
      <w:tab/>
      <w:t>geschaeftsstelle@gor-ev.de</w:t>
    </w:r>
    <w:r>
      <w:rPr>
        <w:color w:val="595959" w:themeColor="text1" w:themeTint="A6"/>
        <w:sz w:val="14"/>
        <w:szCs w:val="14"/>
      </w:rPr>
      <w:tab/>
    </w:r>
    <w:r>
      <w:rPr>
        <w:color w:val="595959" w:themeColor="text1" w:themeTint="A6"/>
        <w:sz w:val="14"/>
        <w:szCs w:val="14"/>
      </w:rPr>
      <w:tab/>
      <w:t>Konto: 1 465 160</w:t>
    </w:r>
    <w:r>
      <w:rPr>
        <w:color w:val="595959" w:themeColor="text1" w:themeTint="A6"/>
        <w:sz w:val="14"/>
        <w:szCs w:val="14"/>
      </w:rPr>
      <w:tab/>
    </w:r>
  </w:p>
  <w:p w14:paraId="43F6E9A3" w14:textId="77777777" w:rsidR="00A60987" w:rsidRDefault="00A60987" w:rsidP="00A60987">
    <w:pPr>
      <w:pStyle w:val="Fuzeile"/>
      <w:tabs>
        <w:tab w:val="clear" w:pos="4536"/>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Prof. Dr. Stefan Ruzika (Arbeitsgruppen / Working Groups)</w:t>
    </w:r>
    <w:r>
      <w:rPr>
        <w:color w:val="595959" w:themeColor="text1" w:themeTint="A6"/>
        <w:sz w:val="14"/>
        <w:szCs w:val="14"/>
      </w:rPr>
      <w:tab/>
      <w:t>www.gor-ev.de</w:t>
    </w:r>
    <w:r>
      <w:rPr>
        <w:b/>
        <w:color w:val="595959" w:themeColor="text1" w:themeTint="A6"/>
        <w:sz w:val="14"/>
        <w:szCs w:val="14"/>
      </w:rPr>
      <w:tab/>
    </w:r>
    <w:r>
      <w:rPr>
        <w:b/>
        <w:color w:val="595959" w:themeColor="text1" w:themeTint="A6"/>
        <w:sz w:val="14"/>
        <w:szCs w:val="14"/>
      </w:rPr>
      <w:tab/>
    </w:r>
    <w:r>
      <w:rPr>
        <w:color w:val="595959" w:themeColor="text1" w:themeTint="A6"/>
        <w:sz w:val="14"/>
        <w:szCs w:val="14"/>
      </w:rPr>
      <w:t>BLZ: 430 500 01 Sparkasse Bochum</w:t>
    </w:r>
  </w:p>
  <w:p w14:paraId="726DE276" w14:textId="77777777" w:rsidR="00A60987" w:rsidRDefault="00A60987" w:rsidP="00A60987">
    <w:pPr>
      <w:pStyle w:val="Fuzeile"/>
      <w:tabs>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Hanno Schülldorf (Finanzen / Treasurer)</w:t>
    </w:r>
    <w:r>
      <w:rPr>
        <w:color w:val="595959" w:themeColor="text1" w:themeTint="A6"/>
        <w:sz w:val="14"/>
        <w:szCs w:val="14"/>
      </w:rPr>
      <w:tab/>
      <w:t>Tel.: +49 (0) 241 80 23830</w:t>
    </w:r>
    <w:r>
      <w:rPr>
        <w:color w:val="595959" w:themeColor="text1" w:themeTint="A6"/>
        <w:sz w:val="14"/>
        <w:szCs w:val="14"/>
      </w:rPr>
      <w:tab/>
    </w:r>
    <w:r>
      <w:rPr>
        <w:color w:val="595959" w:themeColor="text1" w:themeTint="A6"/>
        <w:sz w:val="14"/>
        <w:szCs w:val="14"/>
      </w:rPr>
      <w:tab/>
      <w:t>IBAN: DE82430500010001465160</w:t>
    </w:r>
  </w:p>
  <w:p w14:paraId="7C95B74F" w14:textId="77777777" w:rsidR="00A60987" w:rsidRDefault="00A60987" w:rsidP="00A60987">
    <w:pPr>
      <w:pStyle w:val="Fuzeile"/>
      <w:tabs>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Prof. Dr. Dominik Möst (Tagungen / Conferences)</w:t>
    </w:r>
    <w:r>
      <w:rPr>
        <w:color w:val="595959" w:themeColor="text1" w:themeTint="A6"/>
        <w:sz w:val="14"/>
        <w:szCs w:val="14"/>
      </w:rPr>
      <w:tab/>
      <w:t>Fax: +49 (0) 241 6 80 23830</w:t>
    </w:r>
    <w:r>
      <w:rPr>
        <w:color w:val="595959" w:themeColor="text1" w:themeTint="A6"/>
        <w:sz w:val="14"/>
        <w:szCs w:val="14"/>
      </w:rPr>
      <w:tab/>
    </w:r>
    <w:r>
      <w:rPr>
        <w:color w:val="595959" w:themeColor="text1" w:themeTint="A6"/>
        <w:sz w:val="14"/>
        <w:szCs w:val="14"/>
      </w:rPr>
      <w:tab/>
      <w:t>BIC: WELADED1BOC</w:t>
    </w:r>
  </w:p>
  <w:p w14:paraId="16A64804" w14:textId="77777777" w:rsidR="00A60987" w:rsidRPr="00DB08A2" w:rsidRDefault="00A60987" w:rsidP="00A60987">
    <w:pPr>
      <w:pStyle w:val="Fuzeile"/>
    </w:pPr>
  </w:p>
  <w:p w14:paraId="4A45FB9D" w14:textId="77777777" w:rsidR="00D54F23" w:rsidRDefault="00D54F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8C1C1" w14:textId="77777777" w:rsidR="00BD4330" w:rsidRDefault="00BD4330" w:rsidP="004A6FAA">
      <w:r>
        <w:separator/>
      </w:r>
    </w:p>
  </w:footnote>
  <w:footnote w:type="continuationSeparator" w:id="0">
    <w:p w14:paraId="41815C3D" w14:textId="77777777" w:rsidR="00BD4330" w:rsidRDefault="00BD4330" w:rsidP="004A6FAA">
      <w:r>
        <w:continuationSeparator/>
      </w:r>
    </w:p>
  </w:footnote>
  <w:footnote w:type="continuationNotice" w:id="1">
    <w:p w14:paraId="4B40BC65" w14:textId="77777777" w:rsidR="00BD4330" w:rsidRDefault="00BD43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C5EF" w14:textId="77777777" w:rsidR="00D54F23" w:rsidRDefault="00D54F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2F82" w14:textId="77777777" w:rsidR="00DF3061" w:rsidRDefault="00DF3061" w:rsidP="00DF3061">
    <w:pPr>
      <w:pStyle w:val="Kopfzeile"/>
      <w:tabs>
        <w:tab w:val="clear" w:pos="9072"/>
      </w:tabs>
      <w:ind w:right="-428"/>
    </w:pPr>
    <w:r>
      <w:rPr>
        <w:noProof/>
      </w:rPr>
      <w:drawing>
        <wp:inline distT="0" distB="0" distL="0" distR="0" wp14:anchorId="26DA1EBB" wp14:editId="18D9B1D8">
          <wp:extent cx="5734050" cy="514350"/>
          <wp:effectExtent l="0" t="0" r="0" b="0"/>
          <wp:docPr id="4947937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
                  <a:srcRect b="23214"/>
                  <a:stretch>
                    <a:fillRect/>
                  </a:stretch>
                </pic:blipFill>
                <pic:spPr bwMode="auto">
                  <a:xfrm>
                    <a:off x="0" y="0"/>
                    <a:ext cx="5734050" cy="514350"/>
                  </a:xfrm>
                  <a:prstGeom prst="rect">
                    <a:avLst/>
                  </a:prstGeom>
                </pic:spPr>
              </pic:pic>
            </a:graphicData>
          </a:graphic>
        </wp:inline>
      </w:drawing>
    </w:r>
  </w:p>
  <w:p w14:paraId="734954D2" w14:textId="0D65CF8C" w:rsidR="0047184B" w:rsidRPr="0031484E" w:rsidRDefault="0031484E" w:rsidP="00A60987">
    <w:pPr>
      <w:pStyle w:val="Kopfzeile"/>
      <w:tabs>
        <w:tab w:val="clear" w:pos="4536"/>
        <w:tab w:val="clear" w:pos="9072"/>
        <w:tab w:val="left" w:pos="868"/>
        <w:tab w:val="left" w:pos="3276"/>
        <w:tab w:val="left" w:pos="4820"/>
        <w:tab w:val="left" w:pos="6887"/>
      </w:tabs>
      <w:ind w:right="198"/>
      <w:jc w:val="right"/>
      <w:rPr>
        <w:sz w:val="14"/>
        <w:szCs w:val="14"/>
      </w:rPr>
    </w:pPr>
    <w:r>
      <w:tab/>
    </w:r>
    <w:r>
      <w:tab/>
    </w:r>
    <w:r w:rsidRPr="00E13378">
      <w:rPr>
        <w:b/>
        <w:bCs/>
        <w:sz w:val="18"/>
        <w:szCs w:val="20"/>
        <w:lang w:val="es-ES"/>
      </w:rPr>
      <w:t xml:space="preserve">G e r m a n   S o c </w:t>
    </w:r>
    <w:r w:rsidR="006F4ADB" w:rsidRPr="00E13378">
      <w:rPr>
        <w:b/>
        <w:bCs/>
        <w:sz w:val="18"/>
        <w:szCs w:val="20"/>
        <w:lang w:val="es-ES"/>
      </w:rPr>
      <w:t>i</w:t>
    </w:r>
    <w:r w:rsidRPr="00E13378">
      <w:rPr>
        <w:b/>
        <w:bCs/>
        <w:sz w:val="18"/>
        <w:szCs w:val="20"/>
        <w:lang w:val="es-ES"/>
      </w:rPr>
      <w:t xml:space="preserve"> e t y   o f   O p e r a t i o n s   R e s e a r c h </w:t>
    </w:r>
    <w:r w:rsidR="00DF3061" w:rsidRPr="00E13378">
      <w:rPr>
        <w:lang w:val="es-ES"/>
      </w:rPr>
      <w:tab/>
    </w:r>
    <w:r w:rsidR="00DF3061" w:rsidRPr="00E13378">
      <w:rPr>
        <w:lang w:val="es-ES"/>
      </w:rPr>
      <w:tab/>
    </w:r>
    <w:r w:rsidR="00DF3061" w:rsidRPr="00E13378">
      <w:rPr>
        <w:sz w:val="14"/>
        <w:szCs w:val="14"/>
        <w:lang w:val="es-ES"/>
      </w:rPr>
      <w:t xml:space="preserve">Kackertstr. </w:t>
    </w:r>
    <w:r w:rsidR="00DF3061">
      <w:rPr>
        <w:sz w:val="14"/>
        <w:szCs w:val="14"/>
      </w:rPr>
      <w:t xml:space="preserve">7   </w:t>
    </w:r>
    <w:r>
      <w:rPr>
        <w:sz w:val="14"/>
        <w:szCs w:val="14"/>
      </w:rPr>
      <w:t>D-</w:t>
    </w:r>
    <w:r w:rsidR="00DF3061">
      <w:rPr>
        <w:sz w:val="14"/>
        <w:szCs w:val="14"/>
      </w:rPr>
      <w:t xml:space="preserve">52072 Aachen Tel.: +49 (0) 241 80 23830 </w:t>
    </w:r>
    <w:r>
      <w:rPr>
        <w:sz w:val="14"/>
        <w:szCs w:val="14"/>
      </w:rPr>
      <w:t>URL: www.gor-ev.dei</w:t>
    </w:r>
  </w:p>
  <w:p w14:paraId="3700A620" w14:textId="77777777" w:rsidR="0031484E" w:rsidRPr="00DF3061" w:rsidRDefault="0031484E" w:rsidP="00DF306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B591" w14:textId="77777777" w:rsidR="00A60987" w:rsidRDefault="00A60987" w:rsidP="00A60987">
    <w:pPr>
      <w:pStyle w:val="Kopfzeile"/>
      <w:tabs>
        <w:tab w:val="clear" w:pos="9072"/>
      </w:tabs>
      <w:ind w:right="-428"/>
    </w:pPr>
    <w:r>
      <w:rPr>
        <w:noProof/>
      </w:rPr>
      <w:drawing>
        <wp:inline distT="0" distB="0" distL="0" distR="0" wp14:anchorId="0B4D975E" wp14:editId="3AB49CAF">
          <wp:extent cx="5734050" cy="514350"/>
          <wp:effectExtent l="0" t="0" r="0" b="0"/>
          <wp:docPr id="2610915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
                  <a:srcRect b="23214"/>
                  <a:stretch>
                    <a:fillRect/>
                  </a:stretch>
                </pic:blipFill>
                <pic:spPr bwMode="auto">
                  <a:xfrm>
                    <a:off x="0" y="0"/>
                    <a:ext cx="5734050" cy="514350"/>
                  </a:xfrm>
                  <a:prstGeom prst="rect">
                    <a:avLst/>
                  </a:prstGeom>
                </pic:spPr>
              </pic:pic>
            </a:graphicData>
          </a:graphic>
        </wp:inline>
      </w:drawing>
    </w:r>
  </w:p>
  <w:p w14:paraId="07F44FAD" w14:textId="42F5A4B3" w:rsidR="00A60987" w:rsidRPr="00E13378" w:rsidRDefault="00A60987" w:rsidP="00A60987">
    <w:pPr>
      <w:pStyle w:val="Kopfzeile"/>
      <w:tabs>
        <w:tab w:val="clear" w:pos="4536"/>
        <w:tab w:val="clear" w:pos="9072"/>
        <w:tab w:val="left" w:pos="868"/>
        <w:tab w:val="left" w:pos="3276"/>
        <w:tab w:val="left" w:pos="4820"/>
        <w:tab w:val="left" w:pos="6887"/>
      </w:tabs>
      <w:ind w:right="198"/>
      <w:jc w:val="right"/>
      <w:rPr>
        <w:b/>
        <w:bCs/>
        <w:sz w:val="18"/>
        <w:szCs w:val="20"/>
        <w:lang w:val="es-ES"/>
      </w:rPr>
    </w:pPr>
    <w:r>
      <w:tab/>
    </w:r>
    <w:r>
      <w:tab/>
    </w:r>
    <w:r w:rsidRPr="00E13378">
      <w:rPr>
        <w:b/>
        <w:bCs/>
        <w:sz w:val="18"/>
        <w:szCs w:val="20"/>
        <w:lang w:val="es-ES"/>
      </w:rPr>
      <w:t>G e r m a n   S o c i e t y   o f   O p e r a t i o n s   R e s e a r c h</w:t>
    </w:r>
  </w:p>
  <w:p w14:paraId="42A144B6" w14:textId="67F382DF" w:rsidR="00A60987" w:rsidRPr="0031484E" w:rsidRDefault="00A60987" w:rsidP="00A60987">
    <w:pPr>
      <w:pStyle w:val="Kopfzeile"/>
      <w:tabs>
        <w:tab w:val="clear" w:pos="4536"/>
        <w:tab w:val="clear" w:pos="9072"/>
        <w:tab w:val="left" w:pos="868"/>
        <w:tab w:val="left" w:pos="3276"/>
        <w:tab w:val="left" w:pos="4820"/>
        <w:tab w:val="left" w:pos="6887"/>
      </w:tabs>
      <w:ind w:right="198"/>
      <w:jc w:val="right"/>
      <w:rPr>
        <w:sz w:val="14"/>
        <w:szCs w:val="14"/>
      </w:rPr>
    </w:pPr>
    <w:r w:rsidRPr="00E13378">
      <w:rPr>
        <w:lang w:val="es-ES"/>
      </w:rPr>
      <w:tab/>
    </w:r>
    <w:r w:rsidRPr="00E13378">
      <w:rPr>
        <w:lang w:val="es-ES"/>
      </w:rPr>
      <w:tab/>
    </w:r>
    <w:r>
      <w:rPr>
        <w:sz w:val="14"/>
        <w:szCs w:val="14"/>
      </w:rPr>
      <w:t>Kackertstr. 7   D-52072 Aachen Tel.: +49 (0) 241 80 23830 URL: www.gor-ev.de</w:t>
    </w:r>
  </w:p>
  <w:p w14:paraId="3FD5E20B" w14:textId="77777777" w:rsidR="00A60987" w:rsidRPr="00DF3061" w:rsidRDefault="00A60987" w:rsidP="00A60987">
    <w:pPr>
      <w:pStyle w:val="Kopfzeile"/>
    </w:pPr>
  </w:p>
  <w:p w14:paraId="4D1E0AEA" w14:textId="77777777" w:rsidR="00D54F23" w:rsidRDefault="00D54F2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73"/>
    <w:rsid w:val="00006153"/>
    <w:rsid w:val="00044E75"/>
    <w:rsid w:val="00071785"/>
    <w:rsid w:val="000778A7"/>
    <w:rsid w:val="000A099B"/>
    <w:rsid w:val="000B373D"/>
    <w:rsid w:val="000E08AC"/>
    <w:rsid w:val="000E0C84"/>
    <w:rsid w:val="001074CF"/>
    <w:rsid w:val="00111BC5"/>
    <w:rsid w:val="001229AD"/>
    <w:rsid w:val="001274A2"/>
    <w:rsid w:val="0012755F"/>
    <w:rsid w:val="00157E8D"/>
    <w:rsid w:val="001905FD"/>
    <w:rsid w:val="00192286"/>
    <w:rsid w:val="00196A6F"/>
    <w:rsid w:val="001C4236"/>
    <w:rsid w:val="001F4A02"/>
    <w:rsid w:val="001F7E11"/>
    <w:rsid w:val="0021005B"/>
    <w:rsid w:val="00224E74"/>
    <w:rsid w:val="00235462"/>
    <w:rsid w:val="002446B9"/>
    <w:rsid w:val="00247011"/>
    <w:rsid w:val="00250B6E"/>
    <w:rsid w:val="002516CD"/>
    <w:rsid w:val="002518CA"/>
    <w:rsid w:val="0025293D"/>
    <w:rsid w:val="00260770"/>
    <w:rsid w:val="002802D5"/>
    <w:rsid w:val="00285293"/>
    <w:rsid w:val="002C0AC3"/>
    <w:rsid w:val="002D25AA"/>
    <w:rsid w:val="002E10FF"/>
    <w:rsid w:val="002E422D"/>
    <w:rsid w:val="00307AF2"/>
    <w:rsid w:val="0031484E"/>
    <w:rsid w:val="00314BC0"/>
    <w:rsid w:val="00316A58"/>
    <w:rsid w:val="00333C8B"/>
    <w:rsid w:val="0033437A"/>
    <w:rsid w:val="0035010E"/>
    <w:rsid w:val="00367DFA"/>
    <w:rsid w:val="00374371"/>
    <w:rsid w:val="00392BF0"/>
    <w:rsid w:val="003C2CEA"/>
    <w:rsid w:val="003F1D8B"/>
    <w:rsid w:val="003F3156"/>
    <w:rsid w:val="00422C27"/>
    <w:rsid w:val="00430428"/>
    <w:rsid w:val="004313E5"/>
    <w:rsid w:val="00447F43"/>
    <w:rsid w:val="0047184B"/>
    <w:rsid w:val="00484988"/>
    <w:rsid w:val="004A0146"/>
    <w:rsid w:val="004A2B57"/>
    <w:rsid w:val="004A6FAA"/>
    <w:rsid w:val="004C37FA"/>
    <w:rsid w:val="004C6844"/>
    <w:rsid w:val="004D1466"/>
    <w:rsid w:val="004E5DC1"/>
    <w:rsid w:val="004F78C9"/>
    <w:rsid w:val="00526659"/>
    <w:rsid w:val="0053458F"/>
    <w:rsid w:val="0053726E"/>
    <w:rsid w:val="00554E8B"/>
    <w:rsid w:val="00560A39"/>
    <w:rsid w:val="00573B82"/>
    <w:rsid w:val="00573E4D"/>
    <w:rsid w:val="00596987"/>
    <w:rsid w:val="00596C0C"/>
    <w:rsid w:val="005A1082"/>
    <w:rsid w:val="005A4A12"/>
    <w:rsid w:val="005B0A84"/>
    <w:rsid w:val="005C229B"/>
    <w:rsid w:val="005E6F04"/>
    <w:rsid w:val="006122E1"/>
    <w:rsid w:val="00625A52"/>
    <w:rsid w:val="00632568"/>
    <w:rsid w:val="00651775"/>
    <w:rsid w:val="00694B85"/>
    <w:rsid w:val="006E7CA8"/>
    <w:rsid w:val="006F0922"/>
    <w:rsid w:val="006F33E2"/>
    <w:rsid w:val="006F4ADB"/>
    <w:rsid w:val="00752C29"/>
    <w:rsid w:val="007953CE"/>
    <w:rsid w:val="007A47B4"/>
    <w:rsid w:val="007D01E6"/>
    <w:rsid w:val="007D2CA4"/>
    <w:rsid w:val="007D5EFC"/>
    <w:rsid w:val="007E4D47"/>
    <w:rsid w:val="007F50AD"/>
    <w:rsid w:val="00802A64"/>
    <w:rsid w:val="00806077"/>
    <w:rsid w:val="008107D9"/>
    <w:rsid w:val="008111E1"/>
    <w:rsid w:val="00833F0C"/>
    <w:rsid w:val="00852FF6"/>
    <w:rsid w:val="008543DA"/>
    <w:rsid w:val="008839D8"/>
    <w:rsid w:val="00887692"/>
    <w:rsid w:val="008A7CB2"/>
    <w:rsid w:val="008C01E1"/>
    <w:rsid w:val="008C0B54"/>
    <w:rsid w:val="008C6D8D"/>
    <w:rsid w:val="008E3139"/>
    <w:rsid w:val="00902AD7"/>
    <w:rsid w:val="00907E8A"/>
    <w:rsid w:val="0091113A"/>
    <w:rsid w:val="00934D3B"/>
    <w:rsid w:val="00936E86"/>
    <w:rsid w:val="00946654"/>
    <w:rsid w:val="009522E8"/>
    <w:rsid w:val="009571BB"/>
    <w:rsid w:val="00977B3C"/>
    <w:rsid w:val="00993712"/>
    <w:rsid w:val="009A7620"/>
    <w:rsid w:val="009B1F24"/>
    <w:rsid w:val="009B4D2F"/>
    <w:rsid w:val="009E08D1"/>
    <w:rsid w:val="009F0279"/>
    <w:rsid w:val="00A106CF"/>
    <w:rsid w:val="00A21C39"/>
    <w:rsid w:val="00A228A7"/>
    <w:rsid w:val="00A42AA1"/>
    <w:rsid w:val="00A47FED"/>
    <w:rsid w:val="00A60987"/>
    <w:rsid w:val="00A704A7"/>
    <w:rsid w:val="00A832CD"/>
    <w:rsid w:val="00AC1951"/>
    <w:rsid w:val="00AD0056"/>
    <w:rsid w:val="00AF25C9"/>
    <w:rsid w:val="00B00794"/>
    <w:rsid w:val="00B05E49"/>
    <w:rsid w:val="00B11172"/>
    <w:rsid w:val="00B13A0F"/>
    <w:rsid w:val="00B14CFA"/>
    <w:rsid w:val="00B25E68"/>
    <w:rsid w:val="00B447AA"/>
    <w:rsid w:val="00B5657D"/>
    <w:rsid w:val="00B6759A"/>
    <w:rsid w:val="00B74D5A"/>
    <w:rsid w:val="00B74E16"/>
    <w:rsid w:val="00B941A0"/>
    <w:rsid w:val="00B95ADA"/>
    <w:rsid w:val="00B95DFF"/>
    <w:rsid w:val="00BB3D77"/>
    <w:rsid w:val="00BB3E89"/>
    <w:rsid w:val="00BC4E44"/>
    <w:rsid w:val="00BD4330"/>
    <w:rsid w:val="00BD5E30"/>
    <w:rsid w:val="00BE4661"/>
    <w:rsid w:val="00C155D1"/>
    <w:rsid w:val="00C17503"/>
    <w:rsid w:val="00C267D4"/>
    <w:rsid w:val="00C45495"/>
    <w:rsid w:val="00C55502"/>
    <w:rsid w:val="00C60C29"/>
    <w:rsid w:val="00C673E9"/>
    <w:rsid w:val="00C917FF"/>
    <w:rsid w:val="00CB265F"/>
    <w:rsid w:val="00CB60F5"/>
    <w:rsid w:val="00CC0FD0"/>
    <w:rsid w:val="00CD67C1"/>
    <w:rsid w:val="00CD7F6B"/>
    <w:rsid w:val="00D42660"/>
    <w:rsid w:val="00D42F92"/>
    <w:rsid w:val="00D54F23"/>
    <w:rsid w:val="00D8447D"/>
    <w:rsid w:val="00D84D55"/>
    <w:rsid w:val="00DB08A2"/>
    <w:rsid w:val="00DE1ED7"/>
    <w:rsid w:val="00DE5EAC"/>
    <w:rsid w:val="00DF0F19"/>
    <w:rsid w:val="00DF3061"/>
    <w:rsid w:val="00E037AD"/>
    <w:rsid w:val="00E13378"/>
    <w:rsid w:val="00E1768A"/>
    <w:rsid w:val="00E17A5A"/>
    <w:rsid w:val="00E24AA5"/>
    <w:rsid w:val="00E331EE"/>
    <w:rsid w:val="00E43BF2"/>
    <w:rsid w:val="00EA024A"/>
    <w:rsid w:val="00EB2E54"/>
    <w:rsid w:val="00EE13A9"/>
    <w:rsid w:val="00EF27E4"/>
    <w:rsid w:val="00EF4375"/>
    <w:rsid w:val="00EF5CE7"/>
    <w:rsid w:val="00F008F3"/>
    <w:rsid w:val="00F12867"/>
    <w:rsid w:val="00F15B82"/>
    <w:rsid w:val="00F24367"/>
    <w:rsid w:val="00F271BB"/>
    <w:rsid w:val="00F32530"/>
    <w:rsid w:val="00F359E3"/>
    <w:rsid w:val="00F43EF3"/>
    <w:rsid w:val="00F65E09"/>
    <w:rsid w:val="00F72473"/>
    <w:rsid w:val="00F91580"/>
    <w:rsid w:val="00F9361A"/>
    <w:rsid w:val="00F941B5"/>
    <w:rsid w:val="00F96185"/>
    <w:rsid w:val="00FA6262"/>
    <w:rsid w:val="00FC43E8"/>
    <w:rsid w:val="00FD2973"/>
    <w:rsid w:val="00FD2D15"/>
    <w:rsid w:val="00FE5CBB"/>
    <w:rsid w:val="00FE7010"/>
    <w:rsid w:val="00FF4737"/>
    <w:rsid w:val="4469E8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DF7AA8"/>
  <w14:defaultImageDpi w14:val="0"/>
  <w15:docId w15:val="{EBA411C7-66E6-48B0-AD8A-40BBB357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uiPriority w:val="9"/>
    <w:qFormat/>
    <w:pPr>
      <w:keepNext/>
      <w:outlineLvl w:val="0"/>
    </w:pPr>
    <w:rPr>
      <w:b/>
      <w:bCs/>
    </w:rPr>
  </w:style>
  <w:style w:type="paragraph" w:styleId="berschrift2">
    <w:name w:val="heading 2"/>
    <w:basedOn w:val="Standard"/>
    <w:next w:val="Standard"/>
    <w:link w:val="berschrift2Zchn"/>
    <w:uiPriority w:val="9"/>
    <w:qFormat/>
    <w:pPr>
      <w:keepNext/>
      <w:outlineLvl w:val="1"/>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rPr>
  </w:style>
  <w:style w:type="table" w:styleId="Tabellenraster">
    <w:name w:val="Table Grid"/>
    <w:basedOn w:val="NormaleTabelle"/>
    <w:uiPriority w:val="59"/>
    <w:rsid w:val="00392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uiPriority w:val="99"/>
    <w:rsid w:val="008107D9"/>
    <w:rPr>
      <w:rFonts w:ascii="Tahoma" w:hAnsi="Tahoma" w:cs="Tahoma"/>
      <w:sz w:val="16"/>
      <w:szCs w:val="16"/>
    </w:rPr>
  </w:style>
  <w:style w:type="character" w:customStyle="1" w:styleId="DokumentstrukturZchn">
    <w:name w:val="Dokumentstruktur Zchn"/>
    <w:basedOn w:val="Absatz-Standardschriftart"/>
    <w:link w:val="Dokumentstruktur"/>
    <w:uiPriority w:val="99"/>
    <w:locked/>
    <w:rsid w:val="008107D9"/>
    <w:rPr>
      <w:rFonts w:ascii="Tahoma" w:hAnsi="Tahoma" w:cs="Tahoma"/>
      <w:sz w:val="16"/>
      <w:szCs w:val="16"/>
    </w:rPr>
  </w:style>
  <w:style w:type="paragraph" w:styleId="Kopfzeile">
    <w:name w:val="header"/>
    <w:basedOn w:val="Standard"/>
    <w:link w:val="KopfzeileZchn"/>
    <w:uiPriority w:val="99"/>
    <w:rsid w:val="004A6FAA"/>
    <w:pPr>
      <w:tabs>
        <w:tab w:val="center" w:pos="4536"/>
        <w:tab w:val="right" w:pos="9072"/>
      </w:tabs>
    </w:pPr>
  </w:style>
  <w:style w:type="character" w:customStyle="1" w:styleId="KopfzeileZchn">
    <w:name w:val="Kopfzeile Zchn"/>
    <w:basedOn w:val="Absatz-Standardschriftart"/>
    <w:link w:val="Kopfzeile"/>
    <w:uiPriority w:val="99"/>
    <w:qFormat/>
    <w:locked/>
    <w:rsid w:val="004A6FAA"/>
    <w:rPr>
      <w:rFonts w:ascii="Arial" w:hAnsi="Arial" w:cs="Times New Roman"/>
      <w:sz w:val="24"/>
      <w:szCs w:val="24"/>
    </w:rPr>
  </w:style>
  <w:style w:type="paragraph" w:styleId="Fuzeile">
    <w:name w:val="footer"/>
    <w:basedOn w:val="Standard"/>
    <w:link w:val="FuzeileZchn"/>
    <w:uiPriority w:val="99"/>
    <w:rsid w:val="004A6FAA"/>
    <w:pPr>
      <w:tabs>
        <w:tab w:val="center" w:pos="4536"/>
        <w:tab w:val="right" w:pos="9072"/>
      </w:tabs>
    </w:pPr>
  </w:style>
  <w:style w:type="character" w:customStyle="1" w:styleId="FuzeileZchn">
    <w:name w:val="Fußzeile Zchn"/>
    <w:basedOn w:val="Absatz-Standardschriftart"/>
    <w:link w:val="Fuzeile"/>
    <w:uiPriority w:val="99"/>
    <w:qFormat/>
    <w:locked/>
    <w:rsid w:val="004A6FAA"/>
    <w:rPr>
      <w:rFonts w:ascii="Arial" w:hAnsi="Arial" w:cs="Times New Roman"/>
      <w:sz w:val="24"/>
      <w:szCs w:val="24"/>
    </w:rPr>
  </w:style>
  <w:style w:type="paragraph" w:styleId="Sprechblasentext">
    <w:name w:val="Balloon Text"/>
    <w:basedOn w:val="Standard"/>
    <w:link w:val="SprechblasentextZchn"/>
    <w:uiPriority w:val="99"/>
    <w:rsid w:val="004A0146"/>
    <w:rPr>
      <w:rFonts w:ascii="Segoe UI" w:hAnsi="Segoe UI" w:cs="Segoe UI"/>
      <w:sz w:val="18"/>
      <w:szCs w:val="18"/>
    </w:rPr>
  </w:style>
  <w:style w:type="character" w:customStyle="1" w:styleId="SprechblasentextZchn">
    <w:name w:val="Sprechblasentext Zchn"/>
    <w:basedOn w:val="Absatz-Standardschriftart"/>
    <w:link w:val="Sprechblasentext"/>
    <w:uiPriority w:val="99"/>
    <w:locked/>
    <w:rsid w:val="004A0146"/>
    <w:rPr>
      <w:rFonts w:ascii="Segoe UI" w:hAnsi="Segoe UI" w:cs="Segoe UI"/>
      <w:sz w:val="18"/>
      <w:szCs w:val="18"/>
    </w:rPr>
  </w:style>
  <w:style w:type="character" w:styleId="Hyperlink">
    <w:name w:val="Hyperlink"/>
    <w:basedOn w:val="Absatz-Standardschriftart"/>
    <w:uiPriority w:val="99"/>
    <w:rsid w:val="00632568"/>
    <w:rPr>
      <w:rFonts w:cs="Times New Roman"/>
      <w:color w:val="0000FF" w:themeColor="hyperlink"/>
      <w:u w:val="single"/>
    </w:rPr>
  </w:style>
  <w:style w:type="paragraph" w:styleId="Beschriftung">
    <w:name w:val="caption"/>
    <w:basedOn w:val="Standard"/>
    <w:next w:val="Standard"/>
    <w:unhideWhenUsed/>
    <w:qFormat/>
    <w:rsid w:val="00260770"/>
    <w:pPr>
      <w:spacing w:after="200"/>
    </w:pPr>
    <w:rPr>
      <w:i/>
      <w:iCs/>
      <w:color w:val="1F497D" w:themeColor="text2"/>
      <w:sz w:val="18"/>
      <w:szCs w:val="18"/>
    </w:rPr>
  </w:style>
  <w:style w:type="paragraph" w:styleId="berarbeitung">
    <w:name w:val="Revision"/>
    <w:hidden/>
    <w:uiPriority w:val="99"/>
    <w:semiHidden/>
    <w:rsid w:val="001C4236"/>
    <w:rPr>
      <w:rFonts w:ascii="Arial" w:hAnsi="Arial"/>
      <w:sz w:val="22"/>
      <w:szCs w:val="24"/>
    </w:rPr>
  </w:style>
  <w:style w:type="character" w:customStyle="1" w:styleId="break-words">
    <w:name w:val="break-words"/>
    <w:basedOn w:val="Absatz-Standardschriftart"/>
    <w:rsid w:val="00EE1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673964">
      <w:marLeft w:val="0"/>
      <w:marRight w:val="0"/>
      <w:marTop w:val="0"/>
      <w:marBottom w:val="0"/>
      <w:divBdr>
        <w:top w:val="none" w:sz="0" w:space="0" w:color="auto"/>
        <w:left w:val="none" w:sz="0" w:space="0" w:color="auto"/>
        <w:bottom w:val="none" w:sz="0" w:space="0" w:color="auto"/>
        <w:right w:val="none" w:sz="0" w:space="0" w:color="auto"/>
      </w:divBdr>
    </w:div>
    <w:div w:id="271673965">
      <w:marLeft w:val="0"/>
      <w:marRight w:val="0"/>
      <w:marTop w:val="0"/>
      <w:marBottom w:val="0"/>
      <w:divBdr>
        <w:top w:val="none" w:sz="0" w:space="0" w:color="auto"/>
        <w:left w:val="none" w:sz="0" w:space="0" w:color="auto"/>
        <w:bottom w:val="none" w:sz="0" w:space="0" w:color="auto"/>
        <w:right w:val="none" w:sz="0" w:space="0" w:color="auto"/>
      </w:divBdr>
    </w:div>
    <w:div w:id="7943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werdtfeger\GOR\Begr&#252;&#223;ung\Begr&#252;&#223;ung%20stud.Mtg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D6D3AE6DC81F8428DF545589871908E" ma:contentTypeVersion="13" ma:contentTypeDescription="Ein neues Dokument erstellen." ma:contentTypeScope="" ma:versionID="97e29b02bdcc344bf7fd1f237b82ba1c">
  <xsd:schema xmlns:xsd="http://www.w3.org/2001/XMLSchema" xmlns:xs="http://www.w3.org/2001/XMLSchema" xmlns:p="http://schemas.microsoft.com/office/2006/metadata/properties" xmlns:ns2="64eab14a-9385-4c50-9073-6529ff161756" xmlns:ns3="70a58048-364a-4147-b85e-388334fccb9d" targetNamespace="http://schemas.microsoft.com/office/2006/metadata/properties" ma:root="true" ma:fieldsID="e701f13c0ca93ec7704eb5e7a1c160ef" ns2:_="" ns3:_="">
    <xsd:import namespace="64eab14a-9385-4c50-9073-6529ff161756"/>
    <xsd:import namespace="70a58048-364a-4147-b85e-388334fccb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ab14a-9385-4c50-9073-6529ff161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02264989-10b0-471c-824b-453a5626c0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a58048-364a-4147-b85e-388334fccb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ae6431b-37e2-488d-b14e-6bf913e955bc}" ma:internalName="TaxCatchAll" ma:showField="CatchAllData" ma:web="70a58048-364a-4147-b85e-388334fcc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5A4B9-ABE7-4181-B0D3-E016B1FC6274}">
  <ds:schemaRefs>
    <ds:schemaRef ds:uri="http://schemas.microsoft.com/sharepoint/v3/contenttype/forms"/>
  </ds:schemaRefs>
</ds:datastoreItem>
</file>

<file path=customXml/itemProps2.xml><?xml version="1.0" encoding="utf-8"?>
<ds:datastoreItem xmlns:ds="http://schemas.openxmlformats.org/officeDocument/2006/customXml" ds:itemID="{92D3E0C8-1475-48C0-AA1D-83A174CFF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ab14a-9385-4c50-9073-6529ff161756"/>
    <ds:schemaRef ds:uri="70a58048-364a-4147-b85e-388334fcc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Begrüßung stud.Mtgl..dot</Template>
  <TotalTime>0</TotalTime>
  <Pages>3</Pages>
  <Words>691</Words>
  <Characters>4356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Sehr geehrter Herr/Sehr geehrte Frau</vt:lpstr>
      <vt:lpstr>Sehr geehrter Herr/Sehr geehrte Frau</vt:lpstr>
    </vt:vector>
  </TitlesOfParts>
  <Company>WW.Uni-Magdeburg.DE</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20250903_GOR-Press_Release_Science_Award</dc:title>
  <dc:subject/>
  <dc:creator>aschwerd</dc:creator>
  <cp:keywords/>
  <dc:description/>
  <cp:lastModifiedBy>Jonas Wesseling</cp:lastModifiedBy>
  <cp:revision>8</cp:revision>
  <cp:lastPrinted>2025-09-12T12:07:00Z</cp:lastPrinted>
  <dcterms:created xsi:type="dcterms:W3CDTF">2025-09-12T08:13:00Z</dcterms:created>
  <dcterms:modified xsi:type="dcterms:W3CDTF">2025-09-12T12:07:00Z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0x010100FD6D3AE6DC81F8428DF545589871908E</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